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5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52"/>
          <w:szCs w:val="52"/>
          <w:lang w:eastAsia="zh-CN"/>
        </w:rPr>
        <w:t>马来西亚</w:t>
      </w:r>
      <w:r>
        <w:rPr>
          <w:rFonts w:hint="eastAsia" w:ascii="仿宋_GB2312" w:hAnsi="仿宋_GB2312" w:eastAsia="仿宋_GB2312" w:cs="仿宋_GB2312"/>
          <w:b w:val="0"/>
          <w:bCs w:val="0"/>
          <w:sz w:val="52"/>
          <w:szCs w:val="52"/>
        </w:rPr>
        <w:t>签证要求更新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各申办单位：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接马来西亚驻穗领馆通知，即日起马来西亚签证改为电子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签证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。如需为公务普通护照申办马来西亚签证，请按以下流程办理：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到我中心前台申报经受理并获得照会,严禁未经申报擅自向外方申办签证;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登录指定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签证网站（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"http://malaysiavisa.imi.gov.my/evisa/evisa.jsp"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http://malaysiavisa.imi.gov.my/evisa/evisa.jsp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完成电子签证申请；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经使领馆批准并获取电子签证证明信后，申办单位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专办员凭电子签证证明信打印件、照会原件到我中心发证窗口领取护照和办理出境证明；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出发前一周内登录网址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"https://www.mysafetravel.gov.my/"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https://www.mysafetravel.gov.my/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下载并激活MySejahtera应用程序，并按要求填报入境申请、接种疫苗信息和核酸检测报告等相关信息。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广东省因公出访证照中心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       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9A8"/>
    <w:multiLevelType w:val="singleLevel"/>
    <w:tmpl w:val="625E79A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56F8A"/>
    <w:rsid w:val="01292380"/>
    <w:rsid w:val="0275094A"/>
    <w:rsid w:val="14A56F8A"/>
    <w:rsid w:val="546C39C7"/>
    <w:rsid w:val="58FE76FF"/>
    <w:rsid w:val="5E7E423C"/>
    <w:rsid w:val="5F226AB7"/>
    <w:rsid w:val="6DAA36E0"/>
    <w:rsid w:val="71B14719"/>
    <w:rsid w:val="7B5C4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2022-04-19T08:26:00Z</dcterms:created>
  <dc:creator>Work</dc:creator>
  <cp:lastModifiedBy>Work</cp:lastModifiedBy>
  <dcterms:modified xsi:type="dcterms:W3CDTF">2022-04-20T01:04:14Z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